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ОБГРУНТУВАННЯ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КЗК “ХМ культурний центр”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61068, Харків, вул. Плеханівська, б. 77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Підстава для публікації обґрунтування:</w:t>
      </w:r>
      <w:r>
        <w:rPr>
          <w:rFonts w:cs="Times New Roman" w:ascii="Times New Roman" w:hAnsi="Times New Roman"/>
          <w:sz w:val="24"/>
          <w:szCs w:val="24"/>
          <w:lang w:val="uk-UA"/>
        </w:rPr>
        <w:t> </w:t>
      </w:r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  <w:lang w:val="uk-UA"/>
        </w:rPr>
        <w:t>Мета проведення закупівлі: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  <w:lang w:val="uk-UA"/>
        </w:rPr>
        <w:t> 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проведення  культурно-масових заходів на виконання статутних завдань та цілей .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Потреба  в Товарі   обґрунтована  в службовій  записці   художнього керівника закладу  Настаченко К.О. від 25.05.2021.</w:t>
      </w:r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Замовник: КЗК “ХМ культурний центр”</w:t>
      </w:r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Код ЄДРПОУ:  38774820</w:t>
      </w:r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Вид процедури: Відкриті торги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Ідентифікатор закуп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івлі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:  </w:t>
      </w:r>
      <w:hyperlink r:id="rId2" w:tgtFrame="_blank">
        <w:r>
          <w:rPr>
            <w:rFonts w:cs="Times New Roman" w:ascii="Times New Roman" w:hAnsi="Times New Roman"/>
            <w:b w:val="false"/>
            <w:bCs w:val="false"/>
            <w:color w:val="000000"/>
            <w:sz w:val="22"/>
            <w:szCs w:val="22"/>
            <w:u w:val="none"/>
            <w:shd w:fill="FFFFFF" w:val="clear"/>
          </w:rPr>
          <w:t>UA-2021-06-18-013678-c</w:t>
        </w:r>
      </w:hyperlink>
    </w:p>
    <w:p>
      <w:pPr>
        <w:pStyle w:val="NoSpacing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Предмет закупівлі:  Декорації, код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ДК Єдиний закупівельний словник 021:2015: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lang w:val="uk-UA" w:eastAsia="zh-CN"/>
        </w:rPr>
        <w:t xml:space="preserve">44210000-5 - Конструкції та їх частини 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center"/>
        <w:rPr>
          <w:color w:val="000000"/>
          <w:sz w:val="14"/>
          <w:szCs w:val="14"/>
          <w:lang w:val="uk-UA"/>
        </w:rPr>
      </w:pPr>
      <w:r>
        <w:rPr>
          <w:color w:val="000000"/>
        </w:rPr>
        <w:t> </w:t>
      </w:r>
      <w:r>
        <w:rPr>
          <w:b/>
          <w:lang w:val="uk-UA"/>
        </w:rPr>
        <w:t xml:space="preserve">Технічні та якісні характеристики предмета закупівлі </w:t>
      </w:r>
    </w:p>
    <w:p>
      <w:pPr>
        <w:pStyle w:val="NormalWeb"/>
        <w:shd w:val="clear" w:color="auto" w:fill="FBFBFB"/>
        <w:spacing w:beforeAutospacing="0" w:before="280" w:afterAutospacing="0" w:after="0"/>
        <w:jc w:val="center"/>
        <w:rPr/>
      </w:pPr>
      <w:r>
        <w:rPr>
          <w:b/>
          <w:lang w:val="uk-UA"/>
        </w:rPr>
        <w:t>ДЕКОРАЦІЇ :</w:t>
      </w:r>
      <w:r>
        <w:rPr>
          <w:lang w:val="uk-UA"/>
        </w:rPr>
        <w:t xml:space="preserve"> 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tbl>
      <w:tblPr>
        <w:tblW w:w="103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409"/>
        <w:gridCol w:w="4971"/>
        <w:gridCol w:w="1245"/>
        <w:gridCol w:w="1075"/>
      </w:tblGrid>
      <w:tr>
        <w:trPr>
          <w:trHeight w:val="1272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Товару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Технічні характеристики Товару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Товару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Одиниця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виміру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Товару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Металевий каркас для декорації  “Фантастичний Замок”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Декорація повинна складатися з окремих частин, зварених із металевих профільних труб у вигляді ферм й решіток, оброблених антикорозійним ґрунтом та покритих фарбою по металу. Між собою частини з'єднуються болтовим з'єднанням (для можливості заміни окремої деталі).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Габаритні розміри всієї декорації: ширина 23м, висота 6м, глибина 5м. Центральна частина декорації повинна мати вигляд каркасу замка, розміри якого складають: 5м*5м, та висотою 6м , також мати крок обрешітки не більше ніж 0.6м*1м. Кутові елементи повені бути у форми вежі й мати змогу встановлення додаткових елементів. У центрі замка також необхідно встановити колону не менш ніж 1.6м*1.6м, висотою 6м, із силовими елементами для монтажу покрівлі або додаткових елементів каркасу. Необхідно в одну із стін замку встановити двері для техобслуговування. Бокові частини мають бути виготовлені у форми здвоєних квадратних арок висотою 4м та мати прохід 3м й 4м і мати крок обрешітки не більше ніж 0.5м*1.5м, розташовані вони повинні бути дзеркально в сторони від центральної частини декорації. Також необхідно передбачити можливість встановлення механізму декоративного годинника у лицеву стіну замку. 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uk-UA" w:eastAsia="ru-RU"/>
              </w:rPr>
              <w:t xml:space="preserve">Ескіз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функціонал розроблюється  Учасником  та додаються до тендерної пропозиції. Монтаж декорації проводиться на  залізобетонний фундамент методом зварювання. Монтаж  товару здійснюється  силами  та засобами Учасника-переможця  протягом 10 календарних днів з моменту поставки товару Замовнику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Монтаж входить у вартість товару.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шт.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Декорація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Дерево”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Декорація повинна являти собою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антастичне  дерево з підсві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чуванням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, висотою 3.5м, шириною 2м. Каркас має бути зварений з металевої профільної труби, обробленою антикорозійним ґрунтом та зашитим фанерою й пофарбований фарбою. Крона дерева діаметром (не менше 2м) складається з підсистеми для кріплення декоративного листя з обох боків декорації, виготовленої з ПВХ пластику (не менше ніж 5мм товщини), на якому надруковано художній малюнок. Кольорова гамма та форма листя має нагадувати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крас фантастичного павича. Стовбур дерева потрібно буде виготовити із пінопласту (густиною не нижче 25 кг/1м3), вкрити армованим шаром з художнім оздобленням й фарбуванням, зовнішньо він повинен візуально нагадувати структуру кори фантастичного дерева. Декорація повинна створювати атмосферу лісу зі світу фентезі. Також необхідно змонтувати неонову(не менше 40 м) й діодну (не менше 30-шт модулів) систему освітлення. Освітлення повинно художньо обрамляти край та підкреслити візерунки листя. 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uk-UA" w:eastAsia="ru-RU"/>
              </w:rPr>
              <w:t xml:space="preserve">Ескіз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та функціонал розроблюється  Учасником  та додаються до тендерної пропозиції. Макет-модель декорації  надається переможцем торгів на етапі укладання договору про закупівлю.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Монтаж декорації проводиться на  залізобетонний фундамент методом зварювання. Монтаж  товару здійснюється  силами  та засобами Учасника-переможця  протягом 10 календарних днів з моменту поставки товару Замовнику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Монтаж входить у вартість товару.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шт.</w:t>
            </w:r>
          </w:p>
        </w:tc>
      </w:tr>
    </w:tbl>
    <w:p>
      <w:pPr>
        <w:pStyle w:val="Normal"/>
        <w:shd w:val="clear" w:color="auto" w:fill="FBFBFB"/>
        <w:spacing w:before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Очікувана вартість предмета закупівлі:   685 785,00</w:t>
      </w:r>
      <w:r>
        <w:rPr>
          <w:rFonts w:cs="Times New Roman" w:ascii="Times New Roman" w:hAnsi="Times New Roman"/>
          <w:color w:val="C9211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грн.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BFBFB"/>
        <w:spacing w:lineRule="auto" w:line="276" w:before="0" w:after="200"/>
        <w:jc w:val="center"/>
        <w:rPr>
          <w:color w:val="000000"/>
          <w:sz w:val="14"/>
          <w:szCs w:val="1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Обґрунтування очікуваної вартості предмета закупівлі: 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color w:val="000000"/>
          <w:sz w:val="14"/>
          <w:szCs w:val="1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lang w:val="en-US" w:eastAsia="ru-RU"/>
        </w:rPr>
        <w:t> </w:t>
      </w:r>
      <w:r>
        <w:rPr>
          <w:rFonts w:cs="Times New Roman" w:ascii="Times New Roman" w:hAnsi="Times New Roman"/>
          <w:color w:val="000000"/>
          <w:lang w:val="uk-UA" w:eastAsia="ru-RU"/>
        </w:rPr>
        <w:t>Відповідно до п. 4.ст. 4 Закону України “Про публічні закупівлі” д</w:t>
      </w:r>
      <w:r>
        <w:rPr>
          <w:rFonts w:cs="Times New Roman" w:ascii="Times New Roman" w:hAnsi="Times New Roman"/>
          <w:color w:val="000000"/>
          <w:lang w:val="en-US" w:eastAsia="ru-RU"/>
        </w:rPr>
        <w:t>ля планування закупівель та підготовки до проведення закупівель замовники можуть проводити попередні ринкові</w:t>
      </w:r>
      <w:r>
        <w:rPr>
          <w:rFonts w:cs="Times New Roman" w:ascii="Times New Roman" w:hAnsi="Times New Roman"/>
          <w:b/>
          <w:color w:val="000000"/>
          <w:lang w:val="en-US" w:eastAsia="ru-RU"/>
        </w:rPr>
        <w:t> </w:t>
      </w:r>
      <w:r>
        <w:rPr>
          <w:rFonts w:cs="Times New Roman" w:ascii="Times New Roman" w:hAnsi="Times New Roman"/>
          <w:color w:val="000000"/>
          <w:lang w:val="en-US" w:eastAsia="ru-RU"/>
        </w:rPr>
        <w:t xml:space="preserve">консультації з метою аналізу ринку, у тому числі запитувати й отримувати рекомендації та інформацію від суб’єктів господарювання, </w:t>
      </w:r>
      <w:r>
        <w:rPr>
          <w:rFonts w:cs="Times New Roman" w:ascii="Times New Roman" w:hAnsi="Times New Roman"/>
          <w:color w:val="000000"/>
          <w:lang w:val="uk-UA" w:eastAsia="ru-RU"/>
        </w:rPr>
        <w:t xml:space="preserve">в тому числі з потенційними учасниками. 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lang w:val="uk-UA" w:eastAsia="ru-RU"/>
        </w:rPr>
        <w:tab/>
        <w:t xml:space="preserve">У зв'язку з цим,  КЗК “ХМ культурний центр”  попередньо  були проведені ринкові консультації  із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запитом  цінових пропозицій на товар, що є предметом закупівлі відповідно до вимог Примірної методики визначення очікуваної вартості предмета закупівлі, що затверджена наказом №275 Мінекономрозвитку від 18.02.2020р.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color w:val="000000"/>
          <w:lang w:val="uk-UA" w:eastAsia="ru-RU"/>
        </w:rPr>
        <w:t>За результатами переговорів учасниками ринку  були надані  3 комерційні  пропозиції.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1. Комерційна пропозиція від  14.06.2021 №б/н   на загальну  суму 692 768,00 грн. з ПДВ 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2.  Комерційна пропозиція від  12.06.2021р. № б/н  на  загальну суму 642 486,00   грн. з ПДВ.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3.Комерційна пропозиція від   14.06.2021р. № 14.06./21-1  на  загальну суму 722 100,00  грн. з ПДВ.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Середньоарифметичне  значення  масиву отриманих даних 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14"/>
          <w:szCs w:val="14"/>
        </w:rPr>
        <w:t xml:space="preserve">  </w:t>
      </w:r>
      <w:r>
        <w:rPr>
          <w:rFonts w:cs="Times New Roman" w:ascii="Times New Roman" w:hAnsi="Times New Roman"/>
          <w:color w:val="000000"/>
          <w:sz w:val="14"/>
          <w:szCs w:val="14"/>
          <w:lang w:val="uk-UA"/>
        </w:rPr>
        <w:t>(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692 768,00 +642 486,00 + 722 100,00):3= 685 785,00 грн. 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Отже, оч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ікувана вартість товару, що є предметом закупівлі складає 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685 785,00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(шістсот вісімдесят п'ять тисяч сімсот вісімдесят п'ять гривень 00 коп.)</w:t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BFBFB"/>
        <w:spacing w:lineRule="auto" w:line="276" w:before="0" w:after="200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В.о. директора 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 Майсак О.В. 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Провідний юрисконсульт 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Москаль Г.С.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Головний  бухгалтер 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Лисенко Л.М.</w:t>
      </w:r>
    </w:p>
    <w:p>
      <w:pPr>
        <w:pStyle w:val="NormalWeb"/>
        <w:shd w:val="clear" w:color="auto" w:fill="FBFBFB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/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0ba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2"/>
    <w:next w:val="12"/>
    <w:link w:val="11"/>
    <w:qFormat/>
    <w:rsid w:val="00e60cb6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uiPriority w:val="9"/>
    <w:qFormat/>
    <w:rsid w:val="00e60cb6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qFormat/>
    <w:rsid w:val="00e60cb6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qFormat/>
    <w:rsid w:val="00e60cb6"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qFormat/>
    <w:rsid w:val="00e60cb6"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2"/>
    <w:next w:val="12"/>
    <w:link w:val="60"/>
    <w:qFormat/>
    <w:rsid w:val="00e60cb6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b5cd3"/>
    <w:rPr>
      <w:b/>
      <w:bCs/>
    </w:rPr>
  </w:style>
  <w:style w:type="character" w:styleId="Style8">
    <w:name w:val="Гіперпосилання"/>
    <w:basedOn w:val="DefaultParagraphFont"/>
    <w:uiPriority w:val="99"/>
    <w:semiHidden/>
    <w:unhideWhenUsed/>
    <w:rsid w:val="0083524f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60cb6"/>
    <w:rPr>
      <w:rFonts w:ascii="Arial" w:hAnsi="Arial" w:eastAsia="Arial" w:cs="Arial"/>
      <w:b/>
      <w:color w:val="000000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e60cb6"/>
    <w:rPr>
      <w:rFonts w:ascii="Arial" w:hAnsi="Arial" w:eastAsia="Arial" w:cs="Arial"/>
      <w:b/>
      <w:color w:val="000000"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60cb6"/>
    <w:rPr>
      <w:rFonts w:ascii="Arial" w:hAnsi="Arial" w:eastAsia="Arial" w:cs="Arial"/>
      <w:b/>
      <w:color w:val="000000"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60cb6"/>
    <w:rPr>
      <w:rFonts w:ascii="Arial" w:hAnsi="Arial" w:eastAsia="Arial" w:cs="Arial"/>
      <w:b/>
      <w:color w:val="000000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60cb6"/>
    <w:rPr>
      <w:rFonts w:ascii="Arial" w:hAnsi="Arial" w:eastAsia="Arial" w:cs="Arial"/>
      <w:b/>
      <w:color w:val="00000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60cb6"/>
    <w:rPr>
      <w:rFonts w:ascii="Arial" w:hAnsi="Arial" w:eastAsia="Arial" w:cs="Arial"/>
      <w:b/>
      <w:color w:val="000000"/>
      <w:sz w:val="20"/>
      <w:szCs w:val="20"/>
      <w:lang w:eastAsia="ru-RU"/>
    </w:rPr>
  </w:style>
  <w:style w:type="character" w:styleId="Style9" w:customStyle="1">
    <w:name w:val="Название Знак"/>
    <w:basedOn w:val="DefaultParagraphFont"/>
    <w:qFormat/>
    <w:rsid w:val="00e60cb6"/>
    <w:rPr>
      <w:rFonts w:ascii="Arial" w:hAnsi="Arial" w:eastAsia="Arial" w:cs="Arial"/>
      <w:b/>
      <w:color w:val="000000"/>
      <w:sz w:val="72"/>
      <w:szCs w:val="72"/>
      <w:lang w:eastAsia="ru-RU"/>
    </w:rPr>
  </w:style>
  <w:style w:type="character" w:styleId="Style10" w:customStyle="1">
    <w:name w:val="Подзаголовок Знак"/>
    <w:basedOn w:val="DefaultParagraphFont"/>
    <w:qFormat/>
    <w:rsid w:val="00e60cb6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character" w:styleId="Highlighted" w:customStyle="1">
    <w:name w:val="highlighted"/>
    <w:basedOn w:val="DefaultParagraphFont"/>
    <w:qFormat/>
    <w:rsid w:val="00e60cb6"/>
    <w:rPr/>
  </w:style>
  <w:style w:type="character" w:styleId="Appleconvertedspace" w:customStyle="1">
    <w:name w:val="apple-converted-space"/>
    <w:basedOn w:val="DefaultParagraphFont"/>
    <w:qFormat/>
    <w:rsid w:val="00e60cb6"/>
    <w:rPr/>
  </w:style>
  <w:style w:type="character" w:styleId="Rvts37" w:customStyle="1">
    <w:name w:val="rvts37"/>
    <w:basedOn w:val="DefaultParagraphFont"/>
    <w:qFormat/>
    <w:rsid w:val="00e60cb6"/>
    <w:rPr/>
  </w:style>
  <w:style w:type="character" w:styleId="Rvts11" w:customStyle="1">
    <w:name w:val="rvts11"/>
    <w:basedOn w:val="DefaultParagraphFont"/>
    <w:qFormat/>
    <w:rsid w:val="00e60cb6"/>
    <w:rPr/>
  </w:style>
  <w:style w:type="character" w:styleId="Rvts46" w:customStyle="1">
    <w:name w:val="rvts46"/>
    <w:basedOn w:val="DefaultParagraphFont"/>
    <w:qFormat/>
    <w:rsid w:val="00e60cb6"/>
    <w:rPr/>
  </w:style>
  <w:style w:type="character" w:styleId="Style11" w:customStyle="1">
    <w:name w:val="Основной текст Знак"/>
    <w:basedOn w:val="DefaultParagraphFont"/>
    <w:qFormat/>
    <w:rsid w:val="00e60cb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23" w:customStyle="1">
    <w:name w:val="Основной текст (2)_"/>
    <w:qFormat/>
    <w:locked/>
    <w:rsid w:val="00e60cb6"/>
    <w:rPr>
      <w:rFonts w:ascii="Times New Roman" w:hAnsi="Times New Roman" w:eastAsia="Times New Roman" w:cs="Times New Roman"/>
      <w:shd w:fill="FFFFFF" w:val="clear"/>
    </w:rPr>
  </w:style>
  <w:style w:type="character" w:styleId="Style12" w:customStyle="1">
    <w:name w:val="Основной текст с отступом Знак"/>
    <w:basedOn w:val="DefaultParagraphFont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e60cb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yle14" w:customStyle="1">
    <w:name w:val="Нижний колонтитул Знак"/>
    <w:basedOn w:val="DefaultParagraphFont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Rvts0" w:customStyle="1">
    <w:name w:val="rvts0"/>
    <w:qFormat/>
    <w:rsid w:val="00e60cb6"/>
    <w:rPr/>
  </w:style>
  <w:style w:type="character" w:styleId="Pagenumber">
    <w:name w:val="page number"/>
    <w:basedOn w:val="DefaultParagraphFont"/>
    <w:qFormat/>
    <w:rsid w:val="00e60cb6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e60cb6"/>
    <w:rPr>
      <w:rFonts w:ascii="Segoe UI" w:hAnsi="Segoe UI" w:eastAsia="Arial" w:cs="Times New Roman"/>
      <w:color w:val="000000"/>
      <w:sz w:val="18"/>
      <w:szCs w:val="18"/>
      <w:lang w:eastAsia="ru-RU"/>
    </w:rPr>
  </w:style>
  <w:style w:type="character" w:styleId="Style16" w:customStyle="1">
    <w:name w:val="Обычный (веб) Знак"/>
    <w:uiPriority w:val="99"/>
    <w:qFormat/>
    <w:locked/>
    <w:rsid w:val="00e60c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40" w:customStyle="1">
    <w:name w:val="rvts40"/>
    <w:qFormat/>
    <w:rsid w:val="00e60cb6"/>
    <w:rPr/>
  </w:style>
  <w:style w:type="character" w:styleId="Style17" w:customStyle="1">
    <w:name w:val="Незакрита згадка"/>
    <w:uiPriority w:val="99"/>
    <w:semiHidden/>
    <w:unhideWhenUsed/>
    <w:qFormat/>
    <w:rsid w:val="00e60cb6"/>
    <w:rPr>
      <w:color w:val="808080"/>
      <w:shd w:fill="E6E6E6" w:val="clear"/>
    </w:rPr>
  </w:style>
  <w:style w:type="character" w:styleId="Style18" w:customStyle="1">
    <w:name w:val="Виділення"/>
    <w:uiPriority w:val="20"/>
    <w:qFormat/>
    <w:rsid w:val="00e60cb6"/>
    <w:rPr>
      <w:i/>
      <w:iCs/>
    </w:rPr>
  </w:style>
  <w:style w:type="character" w:styleId="Style19" w:customStyle="1">
    <w:name w:val="Абзац списка Знак"/>
    <w:link w:val="12"/>
    <w:qFormat/>
    <w:locked/>
    <w:rsid w:val="00e60cb6"/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character" w:styleId="Style20" w:customStyle="1">
    <w:name w:val="Відвідане гіперпосилання"/>
    <w:basedOn w:val="DefaultParagraphFont"/>
    <w:uiPriority w:val="99"/>
    <w:semiHidden/>
    <w:unhideWhenUsed/>
    <w:rsid w:val="00e60cb6"/>
    <w:rPr>
      <w:color w:val="800080" w:themeColor="followedHyperlink"/>
      <w:u w:val="single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60cb6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e60cb6"/>
    <w:pPr>
      <w:spacing w:lineRule="auto" w:line="240" w:before="0" w:after="12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Title"/>
    <w:basedOn w:val="12"/>
    <w:next w:val="Style22"/>
    <w:qFormat/>
    <w:rsid w:val="00e60cb6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b5c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40ea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NoSpacing">
    <w:name w:val="No Spacing"/>
    <w:qFormat/>
    <w:rsid w:val="0034386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Обычный1"/>
    <w:uiPriority w:val="99"/>
    <w:qFormat/>
    <w:rsid w:val="00e60c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ru-RU" w:val="ru-RU" w:bidi="ar-SA"/>
    </w:rPr>
  </w:style>
  <w:style w:type="paragraph" w:styleId="Style27">
    <w:name w:val="Subtitle"/>
    <w:basedOn w:val="12"/>
    <w:next w:val="12"/>
    <w:qFormat/>
    <w:rsid w:val="00e60cb6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e60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Содержимое таблицы"/>
    <w:basedOn w:val="Normal"/>
    <w:uiPriority w:val="99"/>
    <w:qFormat/>
    <w:rsid w:val="00e60cb6"/>
    <w:pPr>
      <w:widowControl w:val="false"/>
      <w:suppressLineNumbers/>
      <w:spacing w:lineRule="auto" w:line="240" w:before="0" w:after="0"/>
    </w:pPr>
    <w:rPr>
      <w:rFonts w:ascii="Times New Roman" w:hAnsi="Times New Roman" w:eastAsia="Calibri" w:cs="Times New Roman"/>
      <w:kern w:val="2"/>
      <w:sz w:val="24"/>
      <w:szCs w:val="24"/>
      <w:lang w:val="uk-UA"/>
    </w:rPr>
  </w:style>
  <w:style w:type="paragraph" w:styleId="BodyText2">
    <w:name w:val="Body Text 2"/>
    <w:basedOn w:val="Normal"/>
    <w:link w:val="21"/>
    <w:uiPriority w:val="99"/>
    <w:unhideWhenUsed/>
    <w:qFormat/>
    <w:rsid w:val="00e60cb6"/>
    <w:pPr>
      <w:spacing w:lineRule="auto" w:line="480" w:before="0" w:after="120"/>
    </w:pPr>
    <w:rPr>
      <w:rFonts w:ascii="Arial" w:hAnsi="Arial" w:eastAsia="Arial" w:cs="Times New Roman"/>
      <w:color w:val="000000"/>
      <w:lang w:eastAsia="ru-RU"/>
    </w:rPr>
  </w:style>
  <w:style w:type="paragraph" w:styleId="25" w:customStyle="1">
    <w:name w:val="Основной текст (2)"/>
    <w:basedOn w:val="Normal"/>
    <w:link w:val="24"/>
    <w:qFormat/>
    <w:rsid w:val="00e60cb6"/>
    <w:pPr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</w:rPr>
  </w:style>
  <w:style w:type="paragraph" w:styleId="Style29">
    <w:name w:val="Body Text Indent"/>
    <w:basedOn w:val="Normal"/>
    <w:uiPriority w:val="99"/>
    <w:unhideWhenUsed/>
    <w:rsid w:val="00e60cb6"/>
    <w:pPr>
      <w:spacing w:lineRule="auto" w:line="276" w:before="0" w:after="120"/>
      <w:ind w:left="283" w:hanging="0"/>
    </w:pPr>
    <w:rPr>
      <w:rFonts w:ascii="Arial" w:hAnsi="Arial" w:eastAsia="Arial" w:cs="Times New Roman"/>
      <w:color w:val="000000"/>
      <w:lang w:eastAsia="ru-RU"/>
    </w:rPr>
  </w:style>
  <w:style w:type="paragraph" w:styleId="Style30" w:customStyle="1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e60c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32" w:customStyle="1">
    <w:name w:val="Без інтервалів"/>
    <w:uiPriority w:val="1"/>
    <w:qFormat/>
    <w:rsid w:val="00e60cb6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Style33">
    <w:name w:val="Footer"/>
    <w:basedOn w:val="Normal"/>
    <w:uiPriority w:val="99"/>
    <w:unhideWhenUsed/>
    <w:rsid w:val="00e60cb6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0"/>
    </w:pPr>
    <w:rPr>
      <w:rFonts w:ascii="Arial" w:hAnsi="Arial" w:eastAsia="Arial" w:cs="Times New Roman"/>
      <w:color w:val="000000"/>
      <w:lang w:eastAsia="ru-RU"/>
    </w:rPr>
  </w:style>
  <w:style w:type="paragraph" w:styleId="Style34" w:customStyle="1">
    <w:name w:val="Абзац списку"/>
    <w:basedOn w:val="Normal"/>
    <w:uiPriority w:val="34"/>
    <w:qFormat/>
    <w:rsid w:val="00e60cb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Rvps21" w:customStyle="1">
    <w:name w:val="rvps21"/>
    <w:basedOn w:val="Normal"/>
    <w:qFormat/>
    <w:rsid w:val="00e60cb6"/>
    <w:pPr>
      <w:spacing w:lineRule="auto" w:line="240" w:before="0" w:after="125"/>
      <w:ind w:firstLine="376"/>
      <w:jc w:val="both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uiPriority w:val="99"/>
    <w:semiHidden/>
    <w:unhideWhenUsed/>
    <w:qFormat/>
    <w:rsid w:val="00e60cb6"/>
    <w:pPr>
      <w:spacing w:lineRule="auto" w:line="240" w:before="0" w:after="0"/>
    </w:pPr>
    <w:rPr>
      <w:rFonts w:ascii="Segoe UI" w:hAnsi="Segoe UI" w:eastAsia="Arial" w:cs="Times New Roman"/>
      <w:color w:val="000000"/>
      <w:sz w:val="18"/>
      <w:szCs w:val="18"/>
      <w:lang w:eastAsia="ru-RU"/>
    </w:rPr>
  </w:style>
  <w:style w:type="paragraph" w:styleId="Rvps12" w:customStyle="1">
    <w:name w:val="rvps12"/>
    <w:basedOn w:val="Normal"/>
    <w:qFormat/>
    <w:rsid w:val="00e60cb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vps14" w:customStyle="1">
    <w:name w:val="rvps14"/>
    <w:basedOn w:val="Normal"/>
    <w:qFormat/>
    <w:rsid w:val="00e60cb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Default" w:customStyle="1">
    <w:name w:val="Default"/>
    <w:qFormat/>
    <w:rsid w:val="00e60c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paragraph" w:styleId="BlockText">
    <w:name w:val="Block Text"/>
    <w:basedOn w:val="Normal"/>
    <w:qFormat/>
    <w:rsid w:val="00e60cb6"/>
    <w:pPr>
      <w:spacing w:lineRule="auto" w:line="276" w:before="0" w:after="120"/>
      <w:ind w:left="1440" w:right="1440" w:hanging="0"/>
    </w:pPr>
    <w:rPr>
      <w:rFonts w:ascii="Arial" w:hAnsi="Arial" w:eastAsia="Arial" w:cs="Arial"/>
      <w:color w:val="000000"/>
      <w:lang w:eastAsia="ru-RU"/>
    </w:rPr>
  </w:style>
  <w:style w:type="paragraph" w:styleId="13" w:customStyle="1">
    <w:name w:val="Абзац списка1"/>
    <w:basedOn w:val="Normal"/>
    <w:link w:val="af0"/>
    <w:qFormat/>
    <w:rsid w:val="00e60cb6"/>
    <w:pPr>
      <w:spacing w:lineRule="auto" w:line="240" w:before="0" w:after="0"/>
      <w:ind w:left="720" w:hanging="0"/>
      <w:contextualSpacing/>
    </w:pPr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paragraph" w:styleId="LOnormal" w:customStyle="1">
    <w:name w:val="LO-normal"/>
    <w:qFormat/>
    <w:rsid w:val="00e60c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ru-RU" w:bidi="ar-SA"/>
    </w:rPr>
  </w:style>
  <w:style w:type="paragraph" w:styleId="14" w:customStyle="1">
    <w:name w:val="Без интервала1"/>
    <w:uiPriority w:val="1"/>
    <w:qFormat/>
    <w:rsid w:val="00e60cb6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BodyTextIndent2">
    <w:name w:val="Body Text Indent 2"/>
    <w:basedOn w:val="Normal"/>
    <w:qFormat/>
    <w:rsid w:val="00e60cb6"/>
    <w:pPr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" w:customStyle="1">
    <w:name w:val="a"/>
    <w:basedOn w:val="Normal"/>
    <w:qFormat/>
    <w:rsid w:val="00e60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35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36" w:customStyle="1">
    <w:name w:val="Заголовок таблиці"/>
    <w:basedOn w:val="Style3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e60cb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740ea7"/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NormalTable0">
    <w:name w:val="Normal Table0"/>
    <w:rsid w:val="00e60cb6"/>
    <w:rPr>
      <w:lang w:eastAsia="ru-RU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konstrukcii-ta-materiali/UA-2021-06-18-013678-c-oryhinaly-sertyfikativ-na-taki-materialy-z-yakyx-zrobleno-tovary-meta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4</Pages>
  <Words>759</Words>
  <Characters>4938</Characters>
  <CharactersWithSpaces>5784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2021-06-18T18:04:00Z</dcterms:created>
  <dc:creator>Обухів МВК</dc:creator>
  <dc:description/>
  <dc:language>uk-UA</dc:language>
  <cp:lastModifiedBy/>
  <cp:lastPrinted>2021-06-17T14:32:00Z</cp:lastPrinted>
  <dcterms:modified xsi:type="dcterms:W3CDTF">2021-06-19T10:29:09Z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